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058F8">
      <w:r>
        <w:t xml:space="preserve">The Golden leaf </w:t>
      </w:r>
      <w:proofErr w:type="spellStart"/>
      <w:r>
        <w:t>Banquet</w:t>
      </w:r>
      <w:proofErr w:type="gramStart"/>
      <w:r>
        <w:t>,Trimurti</w:t>
      </w:r>
      <w:proofErr w:type="spellEnd"/>
      <w:proofErr w:type="gramEnd"/>
      <w:r>
        <w:t xml:space="preserve"> </w:t>
      </w:r>
      <w:proofErr w:type="spellStart"/>
      <w:r>
        <w:t>nagar</w:t>
      </w:r>
      <w:proofErr w:type="spellEnd"/>
      <w:r>
        <w:t xml:space="preserve"> ,Nagpur ,It consist of  four banquet halls  which can accommodate 400 persons each.</w:t>
      </w:r>
    </w:p>
    <w:p w:rsidR="003058F8" w:rsidRDefault="003058F8"/>
    <w:p w:rsidR="003058F8" w:rsidRDefault="003058F8"/>
    <w:sectPr w:rsidR="00305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058F8"/>
    <w:rsid w:val="00305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2020-04-16T16:40:00Z</dcterms:created>
  <dcterms:modified xsi:type="dcterms:W3CDTF">2020-04-16T16:45:00Z</dcterms:modified>
</cp:coreProperties>
</file>